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970DD" w14:textId="7A158F04" w:rsidR="00A83AC7" w:rsidRPr="00A83AC7" w:rsidRDefault="00A83AC7" w:rsidP="00A83AC7">
      <w:pPr>
        <w:jc w:val="center"/>
        <w:rPr>
          <w:rFonts w:asciiTheme="minorHAnsi" w:hAnsiTheme="minorHAnsi" w:cstheme="minorHAnsi"/>
          <w:b/>
          <w:sz w:val="32"/>
          <w:szCs w:val="32"/>
          <w:lang w:eastAsia="en-GB"/>
        </w:rPr>
      </w:pPr>
      <w:r w:rsidRPr="00A83AC7">
        <w:rPr>
          <w:rFonts w:asciiTheme="minorHAnsi" w:hAnsiTheme="minorHAnsi" w:cstheme="minorHAnsi"/>
          <w:b/>
          <w:sz w:val="32"/>
          <w:szCs w:val="32"/>
          <w:lang w:eastAsia="en-GB"/>
        </w:rPr>
        <w:t>TERMS OF REFERENCE</w:t>
      </w:r>
    </w:p>
    <w:p w14:paraId="3BA157A6" w14:textId="6D21B76A" w:rsidR="003156FC" w:rsidRPr="00DF0BF6" w:rsidRDefault="00DF0BF6" w:rsidP="003156FC">
      <w:pPr>
        <w:spacing w:after="240"/>
        <w:jc w:val="center"/>
        <w:rPr>
          <w:rFonts w:asciiTheme="minorHAnsi" w:hAnsiTheme="minorHAnsi" w:cstheme="minorHAnsi"/>
          <w:b/>
          <w:sz w:val="28"/>
          <w:szCs w:val="28"/>
          <w:lang w:eastAsia="en-GB"/>
        </w:rPr>
      </w:pPr>
      <w:r>
        <w:rPr>
          <w:rFonts w:asciiTheme="minorHAnsi" w:hAnsiTheme="minorHAnsi" w:cstheme="minorHAnsi"/>
          <w:b/>
          <w:sz w:val="28"/>
          <w:szCs w:val="28"/>
          <w:lang w:eastAsia="en-GB"/>
        </w:rPr>
        <w:t>PLANNING COMMITTEE</w:t>
      </w:r>
      <w:r w:rsidR="00A656F9">
        <w:rPr>
          <w:rFonts w:asciiTheme="minorHAnsi" w:hAnsiTheme="minorHAnsi" w:cstheme="minorHAnsi"/>
          <w:b/>
          <w:sz w:val="28"/>
          <w:szCs w:val="28"/>
          <w:lang w:eastAsia="en-GB"/>
        </w:rPr>
        <w:t xml:space="preserve"> 202</w:t>
      </w:r>
      <w:r w:rsidR="008E63F2">
        <w:rPr>
          <w:rFonts w:asciiTheme="minorHAnsi" w:hAnsiTheme="minorHAnsi" w:cstheme="minorHAnsi"/>
          <w:b/>
          <w:sz w:val="28"/>
          <w:szCs w:val="28"/>
          <w:lang w:eastAsia="en-GB"/>
        </w:rPr>
        <w:t>4-25</w:t>
      </w:r>
    </w:p>
    <w:p w14:paraId="0F1013EF" w14:textId="77777777" w:rsidR="00EE533A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Introduction</w:t>
      </w:r>
    </w:p>
    <w:p w14:paraId="76D95E42" w14:textId="71E8543B" w:rsidR="00EE533A" w:rsidRPr="00CF228D" w:rsidRDefault="003156FC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Bishopsteignton Parish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Council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(BPC) is 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>a consultee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of planning a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pplications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within the parish of Bishopsteignton 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that have been 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submitted to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Teignbridge District 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>Council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(TDC)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as the Local Planning Authority (LPA). BPC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may make comments and/or recommendations on any Planning Application but the final</w:t>
      </w:r>
      <w:r w:rsidR="00B221FB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decision 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is made by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TDC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>.</w:t>
      </w:r>
      <w:r w:rsidR="00C15972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At TDC </w:t>
      </w:r>
      <w:r w:rsidR="00055BD4" w:rsidRPr="00CF228D">
        <w:rPr>
          <w:rFonts w:asciiTheme="minorHAnsi" w:hAnsiTheme="minorHAnsi" w:cstheme="minorHAnsi"/>
          <w:sz w:val="23"/>
          <w:szCs w:val="23"/>
          <w:lang w:eastAsia="en-GB"/>
        </w:rPr>
        <w:t>most</w:t>
      </w:r>
      <w:r w:rsidR="00C15972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decisions are made by the Senior Planning Officers under delegated powers; the delegated officers contact details will be included with the planning application specific</w:t>
      </w:r>
      <w:r w:rsidR="00055BD4" w:rsidRPr="00CF228D">
        <w:rPr>
          <w:rFonts w:asciiTheme="minorHAnsi" w:hAnsiTheme="minorHAnsi" w:cstheme="minorHAnsi"/>
          <w:sz w:val="23"/>
          <w:szCs w:val="23"/>
          <w:lang w:eastAsia="en-GB"/>
        </w:rPr>
        <w:t>s</w:t>
      </w:r>
      <w:r w:rsidR="00C15972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on the TDC website. </w:t>
      </w:r>
      <w:r w:rsidR="0025281E" w:rsidRPr="00CF228D">
        <w:rPr>
          <w:rFonts w:asciiTheme="minorHAnsi" w:hAnsiTheme="minorHAnsi" w:cstheme="minorHAnsi"/>
          <w:sz w:val="23"/>
          <w:szCs w:val="23"/>
          <w:lang w:eastAsia="en-GB"/>
        </w:rPr>
        <w:t>The remaining few applications may be delegated to the TDC Planning Committee for decision</w:t>
      </w:r>
      <w:r w:rsidR="00055BD4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by committee resolution</w:t>
      </w:r>
      <w:r w:rsidR="0025281E" w:rsidRPr="00CF228D">
        <w:rPr>
          <w:rFonts w:asciiTheme="minorHAnsi" w:hAnsiTheme="minorHAnsi" w:cstheme="minorHAnsi"/>
          <w:sz w:val="23"/>
          <w:szCs w:val="23"/>
          <w:lang w:eastAsia="en-GB"/>
        </w:rPr>
        <w:t>.</w:t>
      </w:r>
    </w:p>
    <w:p w14:paraId="0C021127" w14:textId="77777777" w:rsidR="00EE533A" w:rsidRPr="00CF228D" w:rsidRDefault="00EE533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2EEFE7CA" w14:textId="2B3E04F1" w:rsidR="00A25BD8" w:rsidRPr="00CF228D" w:rsidRDefault="00DF0BF6" w:rsidP="00A106C9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BPC </w:t>
      </w:r>
      <w:r w:rsidR="00EE533A"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Planning Committee</w:t>
      </w:r>
    </w:p>
    <w:p w14:paraId="52D8F8D2" w14:textId="241954DF" w:rsidR="00EE533A" w:rsidRPr="00CF228D" w:rsidRDefault="003156FC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BPC</w:t>
      </w:r>
      <w:r w:rsidR="00EE533A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shall have</w:t>
      </w:r>
      <w:r w:rsidR="00EE533A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a </w:t>
      </w:r>
      <w:r w:rsidR="00ED08C8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standing </w:t>
      </w:r>
      <w:r w:rsidR="00EE533A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Planning Committee consisting of</w:t>
      </w:r>
      <w:r w:rsidR="00A106C9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not less than four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parish c</w:t>
      </w:r>
      <w:r w:rsidR="00EE533A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ouncillors.</w:t>
      </w:r>
    </w:p>
    <w:p w14:paraId="4A926CD4" w14:textId="5005E969" w:rsidR="005823FB" w:rsidRPr="00CF228D" w:rsidRDefault="005823FB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Planning Committee meeting</w:t>
      </w:r>
      <w:r w:rsidR="0025281E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s will be held in accordance with BPC Standing Orders.</w:t>
      </w:r>
    </w:p>
    <w:p w14:paraId="68CE815B" w14:textId="06EFA61C" w:rsidR="00EE533A" w:rsidRPr="00CF228D" w:rsidRDefault="00EE533A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Th</w:t>
      </w:r>
      <w:r w:rsidR="0086352F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e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Planning Committee have full delegated authority to discuss and debate all Planning Applications within their</w:t>
      </w:r>
      <w:r w:rsidR="00B221FB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jurisdiction and agree comments to </w:t>
      </w:r>
      <w:r w:rsidR="00A656F9">
        <w:rPr>
          <w:rFonts w:asciiTheme="minorHAnsi" w:eastAsia="Times New Roman" w:hAnsiTheme="minorHAnsi" w:cstheme="minorHAnsi"/>
          <w:sz w:val="23"/>
          <w:szCs w:val="23"/>
          <w:lang w:eastAsia="en-GB"/>
        </w:rPr>
        <w:t>be submitted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on behalf of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BPC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.</w:t>
      </w:r>
    </w:p>
    <w:p w14:paraId="5ECEFFAE" w14:textId="34F371B4" w:rsidR="00A106C9" w:rsidRPr="00CF228D" w:rsidRDefault="00A106C9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BPC have declared a Climate Emergency and are committed to considering the impact of all planning applications </w:t>
      </w:r>
      <w:proofErr w:type="spellStart"/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ie</w:t>
      </w:r>
      <w:proofErr w:type="spellEnd"/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. reduced carbon footprint, ecological considerations.</w:t>
      </w:r>
    </w:p>
    <w:p w14:paraId="55455D91" w14:textId="4C1F08C2" w:rsidR="00EE533A" w:rsidRPr="00CF228D" w:rsidRDefault="0086352F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The</w:t>
      </w:r>
      <w:r w:rsidR="00EE533A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Planning Committee shall meet </w:t>
      </w:r>
      <w:r w:rsidR="00055BD4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when required, approximately once a month.</w:t>
      </w:r>
    </w:p>
    <w:p w14:paraId="612377E3" w14:textId="096AC21E" w:rsidR="00EE533A" w:rsidRPr="00CF228D" w:rsidRDefault="00EE533A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At the first meeting after the Annual</w:t>
      </w:r>
      <w:r w:rsidRPr="00CF228D">
        <w:rPr>
          <w:rFonts w:asciiTheme="minorHAnsi" w:eastAsia="Times New Roman" w:hAnsiTheme="minorHAnsi" w:cstheme="minorHAnsi"/>
          <w:color w:val="FF0000"/>
          <w:sz w:val="23"/>
          <w:szCs w:val="23"/>
          <w:lang w:eastAsia="en-GB"/>
        </w:rPr>
        <w:t xml:space="preserve">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meeting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of the Parish Council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the Planning Committee shall elect a Chair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and a Vice-Chair</w:t>
      </w:r>
      <w:r w:rsidR="00A656F9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if considered necessary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,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who may, with the consent of the majority of the Planning Committee, be replaced by any other member at any time.</w:t>
      </w:r>
    </w:p>
    <w:p w14:paraId="28BB351B" w14:textId="4086CF4F" w:rsidR="00EE533A" w:rsidRPr="00CF228D" w:rsidRDefault="00EE533A" w:rsidP="00EE533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All </w:t>
      </w:r>
      <w:r w:rsidR="00055BD4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comments/</w:t>
      </w:r>
      <w:r w:rsidR="00A25BD8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recommendations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made, along with the reasons for th</w:t>
      </w:r>
      <w:r w:rsidR="00A25BD8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em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,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shall be recorded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in minutes</w:t>
      </w:r>
      <w:r w:rsidR="005839D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.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</w:t>
      </w:r>
    </w:p>
    <w:p w14:paraId="2E065C6F" w14:textId="16262FF1" w:rsidR="00D66C86" w:rsidRPr="00CF228D" w:rsidRDefault="00EE533A" w:rsidP="0008262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Any</w:t>
      </w:r>
      <w:r w:rsidR="00825D86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comments or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recommendations, along with the reasons for those </w:t>
      </w:r>
      <w:r w:rsidR="003156FC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comments or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recommendations, shall be s</w:t>
      </w:r>
      <w:r w:rsidR="005839D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ubmitted to TDC</w:t>
      </w:r>
      <w:r w:rsidR="00B221FB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, as the </w:t>
      </w:r>
      <w:r w:rsidR="00825D86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decision-making</w:t>
      </w:r>
      <w:r w:rsidR="00B221FB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authority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as soon as possible after the meeting.</w:t>
      </w:r>
    </w:p>
    <w:p w14:paraId="4A279274" w14:textId="3A6E6CEE" w:rsidR="00D66C86" w:rsidRPr="00CF228D" w:rsidRDefault="00825D86" w:rsidP="0008262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The</w:t>
      </w:r>
      <w:r w:rsidR="0025281E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draft minutes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shall</w:t>
      </w:r>
      <w:r w:rsidR="005839D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be presented </w:t>
      </w:r>
      <w:r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for ratification</w:t>
      </w:r>
      <w:r w:rsidR="005839D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at the next meeting of the </w:t>
      </w:r>
      <w:r w:rsidR="00055BD4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planning committee and </w:t>
      </w:r>
      <w:r w:rsidR="0089686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once ratified shall be published</w:t>
      </w:r>
      <w:r w:rsidR="00055BD4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 </w:t>
      </w:r>
      <w:r w:rsidR="00A656F9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to </w:t>
      </w:r>
      <w:r w:rsidR="00055BD4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 xml:space="preserve">all </w:t>
      </w:r>
      <w:r w:rsidR="00896860" w:rsidRPr="00CF228D">
        <w:rPr>
          <w:rFonts w:asciiTheme="minorHAnsi" w:eastAsia="Times New Roman" w:hAnsiTheme="minorHAnsi" w:cstheme="minorHAnsi"/>
          <w:sz w:val="23"/>
          <w:szCs w:val="23"/>
          <w:lang w:eastAsia="en-GB"/>
        </w:rPr>
        <w:t>BPC members and on the BPC website.</w:t>
      </w:r>
    </w:p>
    <w:p w14:paraId="2AAA7DB5" w14:textId="77777777" w:rsidR="0086352F" w:rsidRPr="00CF228D" w:rsidRDefault="0086352F" w:rsidP="0008262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i/>
          <w:sz w:val="23"/>
          <w:szCs w:val="23"/>
        </w:rPr>
      </w:pPr>
      <w:r w:rsidRPr="00CF228D">
        <w:rPr>
          <w:sz w:val="23"/>
          <w:szCs w:val="23"/>
        </w:rPr>
        <w:t>On behalf of parishioners the Planning Committee may report</w:t>
      </w:r>
      <w:r w:rsidR="00D66C86" w:rsidRPr="00CF228D">
        <w:rPr>
          <w:i/>
          <w:sz w:val="23"/>
          <w:szCs w:val="23"/>
        </w:rPr>
        <w:t xml:space="preserve"> </w:t>
      </w:r>
      <w:r w:rsidR="00D66C86" w:rsidRPr="00CF228D">
        <w:rPr>
          <w:sz w:val="23"/>
          <w:szCs w:val="23"/>
        </w:rPr>
        <w:t>any plan</w:t>
      </w:r>
      <w:r w:rsidRPr="00CF228D">
        <w:rPr>
          <w:sz w:val="23"/>
          <w:szCs w:val="23"/>
        </w:rPr>
        <w:t>ning queries or concerns to TDC Planning Enforcement Officers</w:t>
      </w:r>
      <w:r w:rsidR="00D66C86" w:rsidRPr="00CF228D">
        <w:rPr>
          <w:sz w:val="23"/>
          <w:szCs w:val="23"/>
        </w:rPr>
        <w:t xml:space="preserve"> for investigation</w:t>
      </w:r>
      <w:r w:rsidRPr="00CF228D">
        <w:rPr>
          <w:sz w:val="23"/>
          <w:szCs w:val="23"/>
        </w:rPr>
        <w:t>.</w:t>
      </w:r>
    </w:p>
    <w:p w14:paraId="3D1757CB" w14:textId="5EFCB430" w:rsidR="0086352F" w:rsidRPr="00CF228D" w:rsidRDefault="0086352F" w:rsidP="00082629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i/>
          <w:sz w:val="23"/>
          <w:szCs w:val="23"/>
        </w:rPr>
      </w:pPr>
      <w:r w:rsidRPr="00CF228D">
        <w:rPr>
          <w:sz w:val="23"/>
          <w:szCs w:val="23"/>
        </w:rPr>
        <w:t>The Planning Committee will work with</w:t>
      </w:r>
      <w:r w:rsidR="00D66C86" w:rsidRPr="00CF228D">
        <w:rPr>
          <w:sz w:val="23"/>
          <w:szCs w:val="23"/>
        </w:rPr>
        <w:t xml:space="preserve"> the </w:t>
      </w:r>
      <w:r w:rsidRPr="00CF228D">
        <w:rPr>
          <w:sz w:val="23"/>
          <w:szCs w:val="23"/>
        </w:rPr>
        <w:t>relevant officers at TDC</w:t>
      </w:r>
      <w:r w:rsidR="00D66C86" w:rsidRPr="00CF228D">
        <w:rPr>
          <w:sz w:val="23"/>
          <w:szCs w:val="23"/>
        </w:rPr>
        <w:t xml:space="preserve"> to develop planning policies which </w:t>
      </w:r>
      <w:r w:rsidRPr="00CF228D">
        <w:rPr>
          <w:sz w:val="23"/>
          <w:szCs w:val="23"/>
        </w:rPr>
        <w:t xml:space="preserve">may </w:t>
      </w:r>
      <w:r w:rsidR="00D66C86" w:rsidRPr="00CF228D">
        <w:rPr>
          <w:sz w:val="23"/>
          <w:szCs w:val="23"/>
        </w:rPr>
        <w:t>affect our parish</w:t>
      </w:r>
      <w:r w:rsidR="00825D86" w:rsidRPr="00CF228D">
        <w:rPr>
          <w:sz w:val="23"/>
          <w:szCs w:val="23"/>
        </w:rPr>
        <w:t>, such as the</w:t>
      </w:r>
      <w:r w:rsidR="00D66C86" w:rsidRPr="00CF228D">
        <w:rPr>
          <w:sz w:val="23"/>
          <w:szCs w:val="23"/>
        </w:rPr>
        <w:t xml:space="preserve"> </w:t>
      </w:r>
      <w:r w:rsidR="00825D86" w:rsidRPr="00CF228D">
        <w:rPr>
          <w:sz w:val="23"/>
          <w:szCs w:val="23"/>
        </w:rPr>
        <w:t>c</w:t>
      </w:r>
      <w:r w:rsidR="00D66C86" w:rsidRPr="00CF228D">
        <w:rPr>
          <w:sz w:val="23"/>
          <w:szCs w:val="23"/>
        </w:rPr>
        <w:t>onservation area, Neighbourhood Plan</w:t>
      </w:r>
      <w:r w:rsidR="00D66C86" w:rsidRPr="00CF228D">
        <w:rPr>
          <w:i/>
          <w:sz w:val="23"/>
          <w:szCs w:val="23"/>
        </w:rPr>
        <w:t>,</w:t>
      </w:r>
      <w:r w:rsidRPr="00CF228D">
        <w:rPr>
          <w:sz w:val="23"/>
          <w:szCs w:val="23"/>
        </w:rPr>
        <w:t xml:space="preserve"> </w:t>
      </w:r>
      <w:r w:rsidR="00825D86" w:rsidRPr="00CF228D">
        <w:rPr>
          <w:sz w:val="23"/>
          <w:szCs w:val="23"/>
        </w:rPr>
        <w:t xml:space="preserve">Teignbridge </w:t>
      </w:r>
      <w:r w:rsidRPr="00CF228D">
        <w:rPr>
          <w:sz w:val="23"/>
          <w:szCs w:val="23"/>
        </w:rPr>
        <w:t>Local Plan</w:t>
      </w:r>
      <w:r w:rsidR="00896860" w:rsidRPr="00CF228D">
        <w:rPr>
          <w:sz w:val="23"/>
          <w:szCs w:val="23"/>
        </w:rPr>
        <w:t>, etc</w:t>
      </w:r>
      <w:r w:rsidRPr="00CF228D">
        <w:rPr>
          <w:sz w:val="23"/>
          <w:szCs w:val="23"/>
        </w:rPr>
        <w:t>.</w:t>
      </w:r>
    </w:p>
    <w:p w14:paraId="29A7768E" w14:textId="1921AFAE" w:rsidR="005839D0" w:rsidRPr="00CF228D" w:rsidRDefault="0086352F" w:rsidP="002377D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3"/>
          <w:szCs w:val="23"/>
        </w:rPr>
      </w:pPr>
      <w:r w:rsidRPr="00CF228D">
        <w:rPr>
          <w:sz w:val="23"/>
          <w:szCs w:val="23"/>
        </w:rPr>
        <w:t xml:space="preserve">When consulted by other authorities on planning policy relating to the above </w:t>
      </w:r>
      <w:r w:rsidR="002377DA" w:rsidRPr="00CF228D">
        <w:rPr>
          <w:sz w:val="23"/>
          <w:szCs w:val="23"/>
        </w:rPr>
        <w:t xml:space="preserve">documents or similar </w:t>
      </w:r>
      <w:r w:rsidRPr="00CF228D">
        <w:rPr>
          <w:sz w:val="23"/>
          <w:szCs w:val="23"/>
        </w:rPr>
        <w:t>the Planning Committee</w:t>
      </w:r>
      <w:r w:rsidR="00D66C86" w:rsidRPr="00CF228D">
        <w:rPr>
          <w:sz w:val="23"/>
          <w:szCs w:val="23"/>
        </w:rPr>
        <w:t xml:space="preserve"> </w:t>
      </w:r>
      <w:r w:rsidRPr="00CF228D">
        <w:rPr>
          <w:sz w:val="23"/>
          <w:szCs w:val="23"/>
        </w:rPr>
        <w:t>shall submit</w:t>
      </w:r>
      <w:r w:rsidR="002377DA" w:rsidRPr="00CF228D">
        <w:rPr>
          <w:sz w:val="23"/>
          <w:szCs w:val="23"/>
        </w:rPr>
        <w:t xml:space="preserve"> response on behalf of BPC; these final submission</w:t>
      </w:r>
      <w:r w:rsidR="00A15E68" w:rsidRPr="00CF228D">
        <w:rPr>
          <w:sz w:val="23"/>
          <w:szCs w:val="23"/>
        </w:rPr>
        <w:t>s</w:t>
      </w:r>
      <w:r w:rsidR="002377DA" w:rsidRPr="00CF228D">
        <w:rPr>
          <w:sz w:val="23"/>
          <w:szCs w:val="23"/>
        </w:rPr>
        <w:t xml:space="preserve"> shall be reported to Full Council at the next opportunity.</w:t>
      </w:r>
    </w:p>
    <w:p w14:paraId="187BE55A" w14:textId="77777777" w:rsidR="00EE533A" w:rsidRPr="00CF228D" w:rsidRDefault="00EE533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641A7746" w14:textId="77777777" w:rsidR="00EE533A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Timescale</w:t>
      </w:r>
    </w:p>
    <w:p w14:paraId="665EA081" w14:textId="75FE63D4" w:rsidR="005839D0" w:rsidRPr="00CF228D" w:rsidRDefault="00A656F9" w:rsidP="005839D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>
        <w:rPr>
          <w:rFonts w:asciiTheme="minorHAnsi" w:hAnsiTheme="minorHAnsi" w:cstheme="minorHAnsi"/>
          <w:sz w:val="23"/>
          <w:szCs w:val="23"/>
          <w:lang w:eastAsia="en-GB"/>
        </w:rPr>
        <w:t>Ordinaril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>y the consultative period</w:t>
      </w:r>
      <w:r w:rsidR="00825D86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of a validated planning application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is </w:t>
      </w:r>
      <w:r w:rsidR="0025281E" w:rsidRPr="00CF228D">
        <w:rPr>
          <w:rFonts w:asciiTheme="minorHAnsi" w:hAnsiTheme="minorHAnsi" w:cstheme="minorHAnsi"/>
          <w:sz w:val="23"/>
          <w:szCs w:val="23"/>
          <w:lang w:eastAsia="en-GB"/>
        </w:rPr>
        <w:t>twenty-one</w:t>
      </w:r>
      <w:r w:rsidR="00EE533A" w:rsidRPr="00CF228D">
        <w:rPr>
          <w:rFonts w:asciiTheme="minorHAnsi" w:hAnsiTheme="minorHAnsi" w:cstheme="minorHAnsi"/>
          <w:color w:val="FF0000"/>
          <w:sz w:val="23"/>
          <w:szCs w:val="23"/>
          <w:lang w:eastAsia="en-GB"/>
        </w:rPr>
        <w:t xml:space="preserve"> </w:t>
      </w:r>
      <w:r w:rsidR="00EE533A" w:rsidRPr="00CF228D">
        <w:rPr>
          <w:rFonts w:asciiTheme="minorHAnsi" w:hAnsiTheme="minorHAnsi" w:cstheme="minorHAnsi"/>
          <w:sz w:val="23"/>
          <w:szCs w:val="23"/>
          <w:lang w:eastAsia="en-GB"/>
        </w:rPr>
        <w:t>days.</w:t>
      </w:r>
      <w:r w:rsidR="005839D0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</w:t>
      </w:r>
    </w:p>
    <w:p w14:paraId="57405A2A" w14:textId="77777777" w:rsidR="00EE533A" w:rsidRPr="00CF228D" w:rsidRDefault="005839D0" w:rsidP="005839D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The Clerk should use best endeavours to notify Committee members of any applications that cannot be brought before the next Planning Committee meeting before the consultative period expires.</w:t>
      </w:r>
    </w:p>
    <w:p w14:paraId="5ACFED46" w14:textId="02328651" w:rsidR="005839D0" w:rsidRDefault="00EE533A" w:rsidP="00EE533A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Any </w:t>
      </w:r>
      <w:r w:rsidR="005839D0" w:rsidRPr="00CF228D">
        <w:rPr>
          <w:rFonts w:asciiTheme="minorHAnsi" w:hAnsiTheme="minorHAnsi" w:cstheme="minorHAnsi"/>
          <w:sz w:val="23"/>
          <w:szCs w:val="23"/>
          <w:lang w:eastAsia="en-GB"/>
        </w:rPr>
        <w:t>applications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received 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>with a consultation period that</w:t>
      </w:r>
      <w:r w:rsidR="005839D0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ends 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>before</w:t>
      </w:r>
      <w:r w:rsidR="005839D0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the next meeting of the Planning Committee may be:</w:t>
      </w:r>
    </w:p>
    <w:p w14:paraId="67578CEB" w14:textId="77777777" w:rsidR="00BC22D1" w:rsidRPr="00CF228D" w:rsidRDefault="00BC22D1" w:rsidP="00BC22D1">
      <w:pPr>
        <w:ind w:left="360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75CE8578" w14:textId="13D50A95" w:rsidR="005839D0" w:rsidRPr="00CF228D" w:rsidRDefault="005839D0" w:rsidP="005839D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lastRenderedPageBreak/>
        <w:t xml:space="preserve">Presented to full council for review at </w:t>
      </w:r>
      <w:r w:rsidR="00A656F9">
        <w:rPr>
          <w:rFonts w:asciiTheme="minorHAnsi" w:hAnsiTheme="minorHAnsi" w:cstheme="minorHAnsi"/>
          <w:sz w:val="23"/>
          <w:szCs w:val="23"/>
          <w:lang w:eastAsia="en-GB"/>
        </w:rPr>
        <w:t>its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next meeting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>, if sooner than the expiry date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; or</w:t>
      </w:r>
    </w:p>
    <w:p w14:paraId="0EE35424" w14:textId="4999719C" w:rsidR="005839D0" w:rsidRPr="00CF228D" w:rsidRDefault="005839D0" w:rsidP="005839D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The clerk can seek an extension from the LPA so that comments or recommendations from BPC may be submitted after the </w:t>
      </w:r>
      <w:r w:rsidR="00A656F9">
        <w:rPr>
          <w:rFonts w:asciiTheme="minorHAnsi" w:hAnsiTheme="minorHAnsi" w:cstheme="minorHAnsi"/>
          <w:sz w:val="23"/>
          <w:szCs w:val="23"/>
          <w:lang w:eastAsia="en-GB"/>
        </w:rPr>
        <w:t xml:space="preserve">public consultation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period closes</w:t>
      </w:r>
      <w:r w:rsidR="00896860" w:rsidRPr="00CF228D">
        <w:rPr>
          <w:rFonts w:asciiTheme="minorHAnsi" w:hAnsiTheme="minorHAnsi" w:cstheme="minorHAnsi"/>
          <w:sz w:val="23"/>
          <w:szCs w:val="23"/>
          <w:lang w:eastAsia="en-GB"/>
        </w:rPr>
        <w:t>; or</w:t>
      </w:r>
    </w:p>
    <w:p w14:paraId="6F5D1DFF" w14:textId="30F5FD09" w:rsidR="00896860" w:rsidRPr="00CF228D" w:rsidRDefault="00896860" w:rsidP="005839D0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The clerk may consult members of the planning committee by email. </w:t>
      </w:r>
      <w:r w:rsidR="00CF228D" w:rsidRPr="00CF228D">
        <w:rPr>
          <w:rFonts w:asciiTheme="minorHAnsi" w:hAnsiTheme="minorHAnsi" w:cstheme="minorHAnsi"/>
          <w:sz w:val="23"/>
          <w:szCs w:val="23"/>
          <w:lang w:eastAsia="en-GB"/>
        </w:rPr>
        <w:t>Individual responses will be collated to form the most appropriate response to be submitted to TDC as the LPA.</w:t>
      </w:r>
    </w:p>
    <w:p w14:paraId="5529DE33" w14:textId="26A06E8F" w:rsidR="00EE533A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Pub</w:t>
      </w:r>
      <w:r w:rsidR="00A106C9"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li</w:t>
      </w: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c Attendance</w:t>
      </w:r>
    </w:p>
    <w:p w14:paraId="35800CEA" w14:textId="3D2ACD7F" w:rsidR="00A83AC7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Any member of the public can attend any </w:t>
      </w:r>
      <w:r w:rsidR="00CF228D" w:rsidRPr="00CF228D">
        <w:rPr>
          <w:rFonts w:asciiTheme="minorHAnsi" w:hAnsiTheme="minorHAnsi" w:cstheme="minorHAnsi"/>
          <w:sz w:val="23"/>
          <w:szCs w:val="23"/>
          <w:lang w:eastAsia="en-GB"/>
        </w:rPr>
        <w:t>p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lanning </w:t>
      </w:r>
      <w:r w:rsidR="00CF228D" w:rsidRPr="00CF228D">
        <w:rPr>
          <w:rFonts w:asciiTheme="minorHAnsi" w:hAnsiTheme="minorHAnsi" w:cstheme="minorHAnsi"/>
          <w:sz w:val="23"/>
          <w:szCs w:val="23"/>
          <w:lang w:eastAsia="en-GB"/>
        </w:rPr>
        <w:t>c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ommittee meeting and may be allowed to speak, either for or against any application, at the discretion of the Committee Chairman.</w:t>
      </w:r>
    </w:p>
    <w:p w14:paraId="18189D45" w14:textId="77777777" w:rsidR="00825D86" w:rsidRPr="00CF228D" w:rsidRDefault="00825D86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</w:p>
    <w:p w14:paraId="4E9E5210" w14:textId="4E7C781C" w:rsidR="00EE533A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 xml:space="preserve">Appeals/Planning Application Amendments </w:t>
      </w:r>
    </w:p>
    <w:p w14:paraId="2ABF1A36" w14:textId="44AB4411" w:rsidR="00EE533A" w:rsidRPr="00CF228D" w:rsidRDefault="00EE533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Any </w:t>
      </w:r>
      <w:r w:rsidR="00B221FB" w:rsidRPr="00CF228D">
        <w:rPr>
          <w:rFonts w:asciiTheme="minorHAnsi" w:hAnsiTheme="minorHAnsi" w:cstheme="minorHAnsi"/>
          <w:sz w:val="23"/>
          <w:szCs w:val="23"/>
          <w:lang w:eastAsia="en-GB"/>
        </w:rPr>
        <w:t>comments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or recommendations made</w:t>
      </w:r>
      <w:r w:rsidR="00B221FB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by BPC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will not be amended 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>after their agreement is confirmed by resolution</w:t>
      </w:r>
      <w:r w:rsidR="00B221FB" w:rsidRPr="00CF228D">
        <w:rPr>
          <w:rFonts w:asciiTheme="minorHAnsi" w:hAnsiTheme="minorHAnsi" w:cstheme="minorHAnsi"/>
          <w:sz w:val="23"/>
          <w:szCs w:val="23"/>
          <w:lang w:eastAsia="en-GB"/>
        </w:rPr>
        <w:t>,</w:t>
      </w:r>
      <w:r w:rsidR="002B3532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unless additional information is submitted that is relevant to the original application.</w:t>
      </w:r>
    </w:p>
    <w:p w14:paraId="005D60C3" w14:textId="77777777" w:rsidR="00EE533A" w:rsidRPr="00CF228D" w:rsidRDefault="00EE533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1955D5D6" w14:textId="77777777" w:rsidR="00EE533A" w:rsidRPr="00CF228D" w:rsidRDefault="00EE533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Site Visits</w:t>
      </w:r>
    </w:p>
    <w:p w14:paraId="0CF920AE" w14:textId="300DD446" w:rsidR="00EE533A" w:rsidRPr="00CF228D" w:rsidRDefault="00EE533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Site visits will not normally take place unless the exact location of the site is not clearly identified</w:t>
      </w:r>
      <w:r w:rsidR="00B221FB" w:rsidRPr="00CF228D">
        <w:rPr>
          <w:rFonts w:asciiTheme="minorHAnsi" w:hAnsiTheme="minorHAnsi" w:cstheme="minorHAnsi"/>
          <w:sz w:val="23"/>
          <w:szCs w:val="23"/>
          <w:lang w:eastAsia="en-GB"/>
        </w:rPr>
        <w:t>.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</w:t>
      </w:r>
    </w:p>
    <w:p w14:paraId="023D5C3F" w14:textId="77777777" w:rsidR="00DF0BF6" w:rsidRPr="00CF228D" w:rsidRDefault="00DF0BF6" w:rsidP="00EE533A">
      <w:pPr>
        <w:jc w:val="both"/>
        <w:rPr>
          <w:rFonts w:cs="Arial"/>
          <w:b/>
          <w:sz w:val="23"/>
          <w:szCs w:val="23"/>
          <w:lang w:eastAsia="en-GB"/>
        </w:rPr>
      </w:pPr>
    </w:p>
    <w:p w14:paraId="460D9ADC" w14:textId="77777777" w:rsidR="002377DA" w:rsidRPr="00CF228D" w:rsidRDefault="002377D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Planning Consultation</w:t>
      </w:r>
    </w:p>
    <w:p w14:paraId="55EF2BFC" w14:textId="77777777" w:rsidR="002377DA" w:rsidRPr="00CF228D" w:rsidRDefault="00B221FB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The following </w:t>
      </w:r>
      <w:r w:rsidR="002377DA"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two lists are guidance for BPC Planning 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>C</w:t>
      </w:r>
      <w:r w:rsidR="002377DA" w:rsidRPr="00CF228D">
        <w:rPr>
          <w:rFonts w:asciiTheme="minorHAnsi" w:hAnsiTheme="minorHAnsi" w:cstheme="minorHAnsi"/>
          <w:sz w:val="23"/>
          <w:szCs w:val="23"/>
          <w:lang w:eastAsia="en-GB"/>
        </w:rPr>
        <w:t>ommittee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&amp; neighbours</w:t>
      </w:r>
      <w:r w:rsidR="002377DA" w:rsidRPr="00CF228D">
        <w:rPr>
          <w:rFonts w:asciiTheme="minorHAnsi" w:hAnsiTheme="minorHAnsi" w:cstheme="minorHAnsi"/>
          <w:sz w:val="23"/>
          <w:szCs w:val="23"/>
          <w:lang w:eastAsia="en-GB"/>
        </w:rPr>
        <w:t>/parishioners who wish to submit comments relating to a live application within the parish</w:t>
      </w:r>
    </w:p>
    <w:p w14:paraId="222355D2" w14:textId="77777777" w:rsidR="002377DA" w:rsidRPr="00CF228D" w:rsidRDefault="002377D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69D748CC" w14:textId="6A7CA22E" w:rsidR="002377DA" w:rsidRPr="00CF228D" w:rsidRDefault="002377DA" w:rsidP="002377D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b/>
          <w:sz w:val="23"/>
          <w:szCs w:val="23"/>
          <w:lang w:eastAsia="en-GB"/>
        </w:rPr>
        <w:t>1. Advice on Commenting on Applications</w:t>
      </w:r>
    </w:p>
    <w:p w14:paraId="7D40064A" w14:textId="3BD421DD" w:rsidR="008470DE" w:rsidRPr="00CF228D" w:rsidRDefault="00C15972" w:rsidP="002377DA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When considering whether to object, you should be aware TDC can only determine applications </w:t>
      </w:r>
      <w:r w:rsidR="00D717ED" w:rsidRPr="00CF228D">
        <w:rPr>
          <w:rFonts w:asciiTheme="minorHAnsi" w:hAnsiTheme="minorHAnsi" w:cstheme="minorHAnsi"/>
          <w:sz w:val="23"/>
          <w:szCs w:val="23"/>
          <w:lang w:eastAsia="en-GB"/>
        </w:rPr>
        <w:t>based on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their planning merits. </w:t>
      </w:r>
      <w:r w:rsidR="008470DE" w:rsidRPr="00CF228D">
        <w:rPr>
          <w:rFonts w:asciiTheme="minorHAnsi" w:hAnsiTheme="minorHAnsi" w:cstheme="minorHAnsi"/>
          <w:sz w:val="23"/>
          <w:szCs w:val="23"/>
          <w:lang w:eastAsia="en-GB"/>
        </w:rPr>
        <w:t>E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nsure that your </w:t>
      </w:r>
      <w:r w:rsidR="008470DE" w:rsidRPr="00CF228D">
        <w:rPr>
          <w:rFonts w:asciiTheme="minorHAnsi" w:hAnsiTheme="minorHAnsi" w:cstheme="minorHAnsi"/>
          <w:sz w:val="23"/>
          <w:szCs w:val="23"/>
          <w:lang w:eastAsia="en-GB"/>
        </w:rPr>
        <w:t>submission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relates to material planning considerations, for example:</w:t>
      </w:r>
    </w:p>
    <w:p w14:paraId="32E3ECBA" w14:textId="0A8C6F7B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Overlooking/loss of privacy</w:t>
      </w:r>
    </w:p>
    <w:p w14:paraId="7889E5DA" w14:textId="65F5C0AE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Design/effect on appearance of areal Access</w:t>
      </w:r>
    </w:p>
    <w:p w14:paraId="1108F42F" w14:textId="1FEDBD50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parking, traffic, road safety</w:t>
      </w:r>
    </w:p>
    <w:p w14:paraId="2E6AC101" w14:textId="77777777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Trees/Biodiversity/Landscape/Heritage</w:t>
      </w:r>
    </w:p>
    <w:p w14:paraId="0097E18C" w14:textId="77777777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Noise/disturbance</w:t>
      </w:r>
    </w:p>
    <w:p w14:paraId="2046B4E9" w14:textId="77777777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Local or Government Policy/Economic benefits</w:t>
      </w:r>
    </w:p>
    <w:p w14:paraId="0AAE31FF" w14:textId="0654B962" w:rsidR="008470DE" w:rsidRPr="00CF228D" w:rsidRDefault="00C15972" w:rsidP="000314A1">
      <w:pPr>
        <w:pStyle w:val="ListParagraph"/>
        <w:numPr>
          <w:ilvl w:val="0"/>
          <w:numId w:val="24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>Flooding issues</w:t>
      </w:r>
    </w:p>
    <w:p w14:paraId="7B589201" w14:textId="77777777" w:rsidR="008470DE" w:rsidRPr="00CF228D" w:rsidRDefault="008470DE" w:rsidP="008470DE">
      <w:pPr>
        <w:pStyle w:val="ListParagraph"/>
        <w:ind w:left="1134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6B42CC03" w14:textId="5423E1CB" w:rsidR="008470DE" w:rsidRPr="00CF228D" w:rsidRDefault="008470DE" w:rsidP="00D076E5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Matters which </w:t>
      </w:r>
      <w:r w:rsidRPr="00A656F9">
        <w:rPr>
          <w:rFonts w:asciiTheme="minorHAnsi" w:hAnsiTheme="minorHAnsi" w:cstheme="minorHAnsi"/>
          <w:b/>
          <w:bCs/>
          <w:sz w:val="23"/>
          <w:szCs w:val="23"/>
          <w:lang w:eastAsia="en-GB"/>
        </w:rPr>
        <w:t>will not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be considered by TDC include:</w:t>
      </w:r>
    </w:p>
    <w:p w14:paraId="621E1017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Loss of property value/loss of view</w:t>
      </w:r>
    </w:p>
    <w:p w14:paraId="41A00115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Boundary/land ownership/neighbour disputes</w:t>
      </w:r>
    </w:p>
    <w:p w14:paraId="559C9486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Impact on private drainage systems</w:t>
      </w:r>
    </w:p>
    <w:p w14:paraId="286AA51A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Inappropriate or personal comments</w:t>
      </w:r>
    </w:p>
    <w:p w14:paraId="123CCD66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Doubts as to integrity of applicant</w:t>
      </w:r>
    </w:p>
    <w:p w14:paraId="70B059B5" w14:textId="77777777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Breach of covenant</w:t>
      </w:r>
    </w:p>
    <w:p w14:paraId="010C70DC" w14:textId="386E56B0" w:rsidR="008470DE" w:rsidRPr="000314A1" w:rsidRDefault="008470DE" w:rsidP="000314A1">
      <w:pPr>
        <w:pStyle w:val="ListParagraph"/>
        <w:numPr>
          <w:ilvl w:val="3"/>
          <w:numId w:val="26"/>
        </w:numPr>
        <w:ind w:left="851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0314A1">
        <w:rPr>
          <w:rFonts w:asciiTheme="minorHAnsi" w:hAnsiTheme="minorHAnsi" w:cstheme="minorHAnsi"/>
          <w:sz w:val="23"/>
          <w:szCs w:val="23"/>
          <w:lang w:eastAsia="en-GB"/>
        </w:rPr>
        <w:t>Principle of development when outline consent exists</w:t>
      </w:r>
    </w:p>
    <w:p w14:paraId="7C0060FF" w14:textId="77777777" w:rsidR="008470DE" w:rsidRPr="00CF228D" w:rsidRDefault="008470DE" w:rsidP="008470DE">
      <w:pPr>
        <w:pStyle w:val="ListParagraph"/>
        <w:ind w:left="1134"/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673B48FF" w14:textId="4C129CEC" w:rsidR="000314A1" w:rsidRPr="00BC22D1" w:rsidRDefault="008470DE" w:rsidP="00BC22D1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Any comments which </w:t>
      </w:r>
      <w:r w:rsidR="000314A1">
        <w:rPr>
          <w:rFonts w:asciiTheme="minorHAnsi" w:hAnsiTheme="minorHAnsi" w:cstheme="minorHAnsi"/>
          <w:sz w:val="23"/>
          <w:szCs w:val="23"/>
          <w:lang w:eastAsia="en-GB"/>
        </w:rPr>
        <w:t>TDC</w:t>
      </w:r>
      <w:r w:rsidRPr="00CF228D">
        <w:rPr>
          <w:rFonts w:asciiTheme="minorHAnsi" w:hAnsiTheme="minorHAnsi" w:cstheme="minorHAnsi"/>
          <w:sz w:val="23"/>
          <w:szCs w:val="23"/>
          <w:lang w:eastAsia="en-GB"/>
        </w:rPr>
        <w:t xml:space="preserve"> consider to be inappropriate will not be considered or published; i</w:t>
      </w:r>
      <w:r w:rsidR="002377DA" w:rsidRPr="00CF228D">
        <w:rPr>
          <w:rFonts w:asciiTheme="minorHAnsi" w:hAnsiTheme="minorHAnsi" w:cstheme="minorHAnsi"/>
          <w:sz w:val="23"/>
          <w:szCs w:val="23"/>
          <w:lang w:eastAsia="en-GB"/>
        </w:rPr>
        <w:t>nappropriate comments include those which are racist, sexist, xenophobic, defamatory, prejudiced or otherwise likely to cause offence to the subject of the comments or any other reader</w:t>
      </w:r>
      <w:r w:rsidR="000314A1">
        <w:rPr>
          <w:rFonts w:asciiTheme="minorHAnsi" w:hAnsiTheme="minorHAnsi" w:cstheme="minorHAnsi"/>
          <w:sz w:val="23"/>
          <w:szCs w:val="23"/>
          <w:lang w:eastAsia="en-GB"/>
        </w:rPr>
        <w:t>.</w:t>
      </w:r>
    </w:p>
    <w:p w14:paraId="195296A3" w14:textId="48D930FC" w:rsidR="002377DA" w:rsidRPr="00BC22D1" w:rsidRDefault="00C15972" w:rsidP="009F6727">
      <w:pPr>
        <w:pStyle w:val="ListParagraph"/>
        <w:numPr>
          <w:ilvl w:val="0"/>
          <w:numId w:val="22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If considering submitting petitions or prefilled </w:t>
      </w:r>
      <w:r w:rsidR="00D717ED" w:rsidRPr="00BC22D1">
        <w:rPr>
          <w:rFonts w:asciiTheme="minorHAnsi" w:hAnsiTheme="minorHAnsi" w:cstheme="minorHAnsi"/>
          <w:sz w:val="23"/>
          <w:szCs w:val="23"/>
          <w:lang w:eastAsia="en-GB"/>
        </w:rPr>
        <w:t>letters,</w:t>
      </w: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please not</w:t>
      </w:r>
      <w:r w:rsidR="008470DE" w:rsidRPr="00BC22D1">
        <w:rPr>
          <w:rFonts w:asciiTheme="minorHAnsi" w:hAnsiTheme="minorHAnsi" w:cstheme="minorHAnsi"/>
          <w:sz w:val="23"/>
          <w:szCs w:val="23"/>
          <w:lang w:eastAsia="en-GB"/>
        </w:rPr>
        <w:t>e</w:t>
      </w: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these will not be displayed on</w:t>
      </w:r>
      <w:r w:rsidR="008470DE"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the</w:t>
      </w: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TDC</w:t>
      </w:r>
      <w:r w:rsidR="008470DE"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website with </w:t>
      </w:r>
      <w:r w:rsidRPr="00BC22D1">
        <w:rPr>
          <w:rFonts w:asciiTheme="minorHAnsi" w:hAnsiTheme="minorHAnsi" w:cstheme="minorHAnsi"/>
          <w:sz w:val="23"/>
          <w:szCs w:val="23"/>
          <w:lang w:eastAsia="en-GB"/>
        </w:rPr>
        <w:t>detail</w:t>
      </w:r>
      <w:r w:rsidR="008470DE" w:rsidRPr="00BC22D1">
        <w:rPr>
          <w:rFonts w:asciiTheme="minorHAnsi" w:hAnsiTheme="minorHAnsi" w:cstheme="minorHAnsi"/>
          <w:sz w:val="23"/>
          <w:szCs w:val="23"/>
          <w:lang w:eastAsia="en-GB"/>
        </w:rPr>
        <w:t>s</w:t>
      </w: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 of each individual signature or letter submission. </w:t>
      </w:r>
    </w:p>
    <w:p w14:paraId="6384112E" w14:textId="77777777" w:rsidR="002377DA" w:rsidRPr="00BC22D1" w:rsidRDefault="002377DA" w:rsidP="00EE533A">
      <w:p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</w:p>
    <w:p w14:paraId="070893F6" w14:textId="68121016" w:rsidR="00EE533A" w:rsidRPr="00BC22D1" w:rsidRDefault="002377DA" w:rsidP="00EE533A">
      <w:pPr>
        <w:jc w:val="both"/>
        <w:rPr>
          <w:rFonts w:asciiTheme="minorHAnsi" w:hAnsiTheme="minorHAnsi" w:cstheme="minorHAnsi"/>
          <w:b/>
          <w:sz w:val="23"/>
          <w:szCs w:val="23"/>
          <w:lang w:eastAsia="en-GB"/>
        </w:rPr>
      </w:pPr>
      <w:r w:rsidRPr="00BC22D1">
        <w:rPr>
          <w:rFonts w:asciiTheme="minorHAnsi" w:hAnsiTheme="minorHAnsi" w:cstheme="minorHAnsi"/>
          <w:b/>
          <w:sz w:val="23"/>
          <w:szCs w:val="23"/>
          <w:lang w:eastAsia="en-GB"/>
        </w:rPr>
        <w:t>2</w:t>
      </w:r>
      <w:r w:rsidR="00B221FB" w:rsidRPr="00BC22D1">
        <w:rPr>
          <w:rFonts w:asciiTheme="minorHAnsi" w:hAnsiTheme="minorHAnsi" w:cstheme="minorHAnsi"/>
          <w:b/>
          <w:sz w:val="23"/>
          <w:szCs w:val="23"/>
          <w:lang w:eastAsia="en-GB"/>
        </w:rPr>
        <w:t>. Possible Considerations of the LPA (TDC) when assessing a planning application:</w:t>
      </w:r>
    </w:p>
    <w:p w14:paraId="6F210B40" w14:textId="18000259" w:rsidR="00DF0BF6" w:rsidRPr="00BC22D1" w:rsidRDefault="00DF0BF6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In accordance with policies within:</w:t>
      </w:r>
    </w:p>
    <w:p w14:paraId="61B980A3" w14:textId="77777777" w:rsidR="00DF0BF6" w:rsidRPr="00BC22D1" w:rsidRDefault="00DF0BF6" w:rsidP="00DF0BF6">
      <w:pPr>
        <w:pStyle w:val="ListParagraph"/>
        <w:numPr>
          <w:ilvl w:val="0"/>
          <w:numId w:val="20"/>
        </w:numPr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hAnsiTheme="minorHAnsi" w:cstheme="minorHAnsi"/>
          <w:sz w:val="23"/>
          <w:szCs w:val="23"/>
          <w:lang w:eastAsia="en-GB"/>
        </w:rPr>
        <w:t>National Planning Policy Framework</w:t>
      </w:r>
    </w:p>
    <w:p w14:paraId="2488DB96" w14:textId="77777777" w:rsidR="00DF0BF6" w:rsidRPr="00BC22D1" w:rsidRDefault="00DF0BF6" w:rsidP="00DF0BF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hAnsiTheme="minorHAnsi" w:cstheme="minorHAnsi"/>
          <w:sz w:val="23"/>
          <w:szCs w:val="23"/>
          <w:lang w:eastAsia="en-GB"/>
        </w:rPr>
        <w:t xml:space="preserve">Teignbridge </w:t>
      </w:r>
      <w:r w:rsidR="00EE533A" w:rsidRPr="00BC22D1">
        <w:rPr>
          <w:rFonts w:asciiTheme="minorHAnsi" w:hAnsiTheme="minorHAnsi" w:cstheme="minorHAnsi"/>
          <w:sz w:val="23"/>
          <w:szCs w:val="23"/>
          <w:lang w:eastAsia="en-GB"/>
        </w:rPr>
        <w:t>Local Plan</w:t>
      </w:r>
    </w:p>
    <w:p w14:paraId="315CD253" w14:textId="5366C874" w:rsidR="00DF0BF6" w:rsidRPr="00BC22D1" w:rsidRDefault="00DF0BF6" w:rsidP="00DF0BF6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hAnsiTheme="minorHAnsi" w:cstheme="minorHAnsi"/>
          <w:sz w:val="23"/>
          <w:szCs w:val="23"/>
          <w:lang w:eastAsia="en-GB"/>
        </w:rPr>
        <w:t>Bishopsteignton Neighbourhood Development Plan</w:t>
      </w:r>
    </w:p>
    <w:p w14:paraId="50FD82E8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Adopted supplementary guidance - for example car parking standards.</w:t>
      </w:r>
    </w:p>
    <w:p w14:paraId="2893E66F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Replies from statutory and non-statutory agencies (e.g. Environment Agency, Highways Authority who will be consulted anyway.)</w:t>
      </w:r>
    </w:p>
    <w:p w14:paraId="4CFBF63B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Representations from others - neighbours, amenity groups and other interested parties so long as they relate to land use matters.</w:t>
      </w:r>
    </w:p>
    <w:p w14:paraId="79222154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Effects on an area - this includes the character of an area, availability of infrastructure, density, over-development, layout, position, design and external appearance of buildings and landscaping</w:t>
      </w:r>
    </w:p>
    <w:p w14:paraId="2D6582EF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The need to safeguard valuable resources such as good farmland or mineral reserves.</w:t>
      </w:r>
    </w:p>
    <w:p w14:paraId="2A5CE890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Highway safety issues - such as traffic generation, road capacity, means of access, visibility, car parking and effects on pedestrians and cyclists.</w:t>
      </w:r>
    </w:p>
    <w:p w14:paraId="495298B4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Public services - such as drainage, water supply and availability of schools.</w:t>
      </w:r>
    </w:p>
    <w:p w14:paraId="00B91AAB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Public proposals for using the same land</w:t>
      </w:r>
    </w:p>
    <w:p w14:paraId="5840CD77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Effects on surrounding buildings - such as overlooking, loss of light, overshadowing, visual intrusion, noise, overbearing impact, design out of character, disturbance and smell.</w:t>
      </w:r>
    </w:p>
    <w:p w14:paraId="491722AD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Effects on a specially designated area or building - such as green belt, conservation areas, listed buildings, ancient monuments and areas of special scientific interest.</w:t>
      </w:r>
    </w:p>
    <w:p w14:paraId="179A20FD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Effects on existing tree cover and hedgerows.</w:t>
      </w:r>
    </w:p>
    <w:p w14:paraId="0EF05118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Nature conservation interests - such as protection of badgers, great crested newts etc.</w:t>
      </w:r>
    </w:p>
    <w:p w14:paraId="3463CEA0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Public rights of way</w:t>
      </w:r>
    </w:p>
    <w:p w14:paraId="73FA9FD9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Flooding or pollution.</w:t>
      </w:r>
    </w:p>
    <w:p w14:paraId="70D32BDC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Planning history of the site - including existing permissions and appeal decisions.</w:t>
      </w:r>
    </w:p>
    <w:p w14:paraId="704683A4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A desire to retain or promote certain uses - such as playing fields, village shops and pubs.</w:t>
      </w:r>
    </w:p>
    <w:p w14:paraId="5C3519FF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Prevention of crime and disorder</w:t>
      </w:r>
    </w:p>
    <w:p w14:paraId="7C33295E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Presence of a hazardous substance directly associated with a development</w:t>
      </w:r>
    </w:p>
    <w:p w14:paraId="51C70444" w14:textId="77777777" w:rsidR="00EE533A" w:rsidRPr="00BC22D1" w:rsidRDefault="00EE533A" w:rsidP="00EE533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  <w:lang w:eastAsia="en-GB"/>
        </w:rPr>
      </w:pPr>
      <w:r w:rsidRPr="00BC22D1">
        <w:rPr>
          <w:rFonts w:asciiTheme="minorHAnsi" w:eastAsia="Times New Roman" w:hAnsiTheme="minorHAnsi" w:cstheme="minorHAnsi"/>
          <w:sz w:val="23"/>
          <w:szCs w:val="23"/>
          <w:lang w:eastAsia="en-GB"/>
        </w:rPr>
        <w:t>Precedent - but only where it can be shown there would be a real danger that a proposal would inevitably lead to other inappropriate development.</w:t>
      </w:r>
    </w:p>
    <w:p w14:paraId="5AFB8E20" w14:textId="77777777" w:rsidR="00FC78CE" w:rsidRDefault="00FC78CE" w:rsidP="00EE533A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07E25A6D" w14:textId="77777777" w:rsidR="00B221FB" w:rsidRDefault="00B221FB" w:rsidP="00B221FB"/>
    <w:p w14:paraId="37619679" w14:textId="77777777" w:rsidR="00B221FB" w:rsidRDefault="00B221FB" w:rsidP="00B221FB"/>
    <w:p w14:paraId="35D6632B" w14:textId="77777777" w:rsidR="00B221FB" w:rsidRDefault="00B221FB" w:rsidP="00B221FB"/>
    <w:p w14:paraId="7CA73FD6" w14:textId="77777777" w:rsidR="00B221FB" w:rsidRPr="00B221FB" w:rsidRDefault="00B221FB" w:rsidP="00B221FB"/>
    <w:sectPr w:rsidR="00B221FB" w:rsidRPr="00B221FB" w:rsidSect="00A83AC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077" w:right="1077" w:bottom="1134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91F0E" w14:textId="77777777" w:rsidR="00AA39E7" w:rsidRDefault="00AA39E7">
      <w:r>
        <w:separator/>
      </w:r>
    </w:p>
  </w:endnote>
  <w:endnote w:type="continuationSeparator" w:id="0">
    <w:p w14:paraId="3F9D44DE" w14:textId="77777777" w:rsidR="00AA39E7" w:rsidRDefault="00AA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7B4F" w14:textId="5D80B2FA" w:rsidR="00A83AC7" w:rsidRDefault="00A83AC7" w:rsidP="00A83AC7">
    <w:pPr>
      <w:pStyle w:val="Footer"/>
      <w:ind w:left="-851" w:right="-453"/>
      <w:jc w:val="center"/>
    </w:pPr>
  </w:p>
  <w:p w14:paraId="55108780" w14:textId="77777777" w:rsidR="00A656F9" w:rsidRDefault="00A656F9" w:rsidP="00A656F9">
    <w:pPr>
      <w:pStyle w:val="Footer"/>
      <w:ind w:right="-453"/>
      <w:rPr>
        <w:i/>
      </w:rPr>
    </w:pPr>
    <w:r>
      <w:rPr>
        <w:i/>
      </w:rPr>
      <w:t>TOR originally approved</w:t>
    </w:r>
    <w:r w:rsidRPr="00A83AC7">
      <w:rPr>
        <w:i/>
      </w:rPr>
      <w:t xml:space="preserve"> </w:t>
    </w:r>
    <w:r>
      <w:rPr>
        <w:i/>
      </w:rPr>
      <w:t>20.07.20</w:t>
    </w:r>
    <w:r w:rsidRPr="00A83AC7">
      <w:rPr>
        <w:i/>
      </w:rPr>
      <w:t xml:space="preserve"> Planning Minute Ref: </w:t>
    </w:r>
    <w:r>
      <w:rPr>
        <w:i/>
      </w:rPr>
      <w:t>2489</w:t>
    </w:r>
  </w:p>
  <w:p w14:paraId="04ED23ED" w14:textId="0A342536" w:rsidR="008A0463" w:rsidRPr="00DF0BF6" w:rsidRDefault="008E63F2" w:rsidP="008E63F2">
    <w:pPr>
      <w:pStyle w:val="Footer"/>
      <w:ind w:right="-453"/>
    </w:pPr>
    <w:r>
      <w:rPr>
        <w:i/>
      </w:rPr>
      <w:t xml:space="preserve">Last reviewed and approved: </w:t>
    </w:r>
    <w:proofErr w:type="gramStart"/>
    <w:r w:rsidR="00843FDC">
      <w:rPr>
        <w:i/>
      </w:rPr>
      <w:t>03.06.24</w:t>
    </w:r>
    <w:r>
      <w:rPr>
        <w:i/>
      </w:rPr>
      <w:t xml:space="preserve">  Planning</w:t>
    </w:r>
    <w:proofErr w:type="gramEnd"/>
    <w:r>
      <w:rPr>
        <w:i/>
      </w:rPr>
      <w:t xml:space="preserve"> Minute Ref: </w:t>
    </w:r>
    <w:r w:rsidR="00843FDC">
      <w:rPr>
        <w:i/>
      </w:rPr>
      <w:t>PL.2406.02.03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3FBD0" w14:textId="487A18C4" w:rsidR="00A83AC7" w:rsidRDefault="00A83AC7" w:rsidP="00A83AC7">
    <w:pPr>
      <w:pStyle w:val="Footer"/>
      <w:ind w:left="-851" w:right="-453"/>
      <w:jc w:val="center"/>
    </w:pPr>
  </w:p>
  <w:p w14:paraId="0D350473" w14:textId="2491F9CF" w:rsidR="00CF228D" w:rsidRDefault="00CF228D" w:rsidP="00CF228D">
    <w:pPr>
      <w:pStyle w:val="Footer"/>
      <w:ind w:right="-453"/>
      <w:rPr>
        <w:i/>
      </w:rPr>
    </w:pPr>
    <w:r>
      <w:rPr>
        <w:i/>
      </w:rPr>
      <w:t>TOR originally approved</w:t>
    </w:r>
    <w:r w:rsidR="00D717ED" w:rsidRPr="00A83AC7">
      <w:rPr>
        <w:i/>
      </w:rPr>
      <w:t xml:space="preserve"> </w:t>
    </w:r>
    <w:r w:rsidR="00D717ED">
      <w:rPr>
        <w:i/>
      </w:rPr>
      <w:t>20.07.20</w:t>
    </w:r>
    <w:r w:rsidR="00D717ED" w:rsidRPr="00A83AC7">
      <w:rPr>
        <w:i/>
      </w:rPr>
      <w:t xml:space="preserve"> Planning Minute Ref: </w:t>
    </w:r>
    <w:r w:rsidR="00D717ED">
      <w:rPr>
        <w:i/>
      </w:rPr>
      <w:t>2</w:t>
    </w:r>
    <w:r w:rsidR="00E22E9F">
      <w:rPr>
        <w:i/>
      </w:rPr>
      <w:t>489</w:t>
    </w:r>
  </w:p>
  <w:p w14:paraId="0D30AC44" w14:textId="478C1BD3" w:rsidR="00CF228D" w:rsidRDefault="00A656F9" w:rsidP="00CF228D">
    <w:pPr>
      <w:pStyle w:val="Footer"/>
      <w:ind w:right="-453"/>
    </w:pPr>
    <w:r>
      <w:rPr>
        <w:i/>
      </w:rPr>
      <w:t>Last reviewed and approved</w:t>
    </w:r>
    <w:r w:rsidR="00CF228D">
      <w:rPr>
        <w:i/>
      </w:rPr>
      <w:t xml:space="preserve">: </w:t>
    </w:r>
    <w:r w:rsidR="00843FDC">
      <w:rPr>
        <w:i/>
      </w:rPr>
      <w:t>03.06.24</w:t>
    </w:r>
    <w:r w:rsidR="009B24F3">
      <w:rPr>
        <w:i/>
      </w:rPr>
      <w:t xml:space="preserve"> Planning Minute Ref: </w:t>
    </w:r>
    <w:r w:rsidR="00843FDC">
      <w:rPr>
        <w:i/>
      </w:rPr>
      <w:t>PL.2406.02.03</w:t>
    </w:r>
    <w:r w:rsidR="00D717ED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02A79" w14:textId="77777777" w:rsidR="00AA39E7" w:rsidRDefault="00AA39E7">
      <w:r>
        <w:separator/>
      </w:r>
    </w:p>
  </w:footnote>
  <w:footnote w:type="continuationSeparator" w:id="0">
    <w:p w14:paraId="576AEAFC" w14:textId="77777777" w:rsidR="00AA39E7" w:rsidRDefault="00AA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D869" w14:textId="41D8FD27" w:rsidR="00BC22D1" w:rsidRDefault="00000000">
    <w:pPr>
      <w:pStyle w:val="Header"/>
      <w:jc w:val="center"/>
    </w:pPr>
    <w:sdt>
      <w:sdtPr>
        <w:id w:val="15716116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C22D1">
          <w:fldChar w:fldCharType="begin"/>
        </w:r>
        <w:r w:rsidR="00BC22D1">
          <w:instrText xml:space="preserve"> PAGE   \* MERGEFORMAT </w:instrText>
        </w:r>
        <w:r w:rsidR="00BC22D1">
          <w:fldChar w:fldCharType="separate"/>
        </w:r>
        <w:r w:rsidR="00BC22D1">
          <w:rPr>
            <w:noProof/>
          </w:rPr>
          <w:t>2</w:t>
        </w:r>
        <w:r w:rsidR="00BC22D1">
          <w:rPr>
            <w:noProof/>
          </w:rPr>
          <w:fldChar w:fldCharType="end"/>
        </w:r>
      </w:sdtContent>
    </w:sdt>
  </w:p>
  <w:p w14:paraId="1EB75511" w14:textId="77777777" w:rsidR="00BC22D1" w:rsidRDefault="00BC2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DC02" w14:textId="286BD8AE" w:rsidR="00DF0BF6" w:rsidRPr="00BC22D1" w:rsidRDefault="00BC22D1" w:rsidP="00BC22D1">
    <w:pPr>
      <w:pStyle w:val="Header"/>
      <w:jc w:val="center"/>
    </w:pPr>
    <w:r>
      <w:rPr>
        <w:noProof/>
      </w:rPr>
      <w:drawing>
        <wp:inline distT="0" distB="0" distL="0" distR="0" wp14:anchorId="76AC5B8C" wp14:editId="636E8DF7">
          <wp:extent cx="3881755" cy="1081781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515" cy="1087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BAF"/>
    <w:multiLevelType w:val="multilevel"/>
    <w:tmpl w:val="92FC716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103258"/>
    <w:multiLevelType w:val="hybridMultilevel"/>
    <w:tmpl w:val="0BFC41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143524"/>
    <w:multiLevelType w:val="multilevel"/>
    <w:tmpl w:val="823E27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D413A7"/>
    <w:multiLevelType w:val="hybridMultilevel"/>
    <w:tmpl w:val="09D21D72"/>
    <w:lvl w:ilvl="0" w:tplc="D9F05652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26BE7"/>
    <w:multiLevelType w:val="hybridMultilevel"/>
    <w:tmpl w:val="7F9ACE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D5F0C"/>
    <w:multiLevelType w:val="hybridMultilevel"/>
    <w:tmpl w:val="1AE64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4613C"/>
    <w:multiLevelType w:val="hybridMultilevel"/>
    <w:tmpl w:val="09D21D72"/>
    <w:lvl w:ilvl="0" w:tplc="940879E8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463DF"/>
    <w:multiLevelType w:val="hybridMultilevel"/>
    <w:tmpl w:val="09D21D72"/>
    <w:lvl w:ilvl="0" w:tplc="48FC4DF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7B4"/>
    <w:multiLevelType w:val="hybridMultilevel"/>
    <w:tmpl w:val="35100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B79"/>
    <w:multiLevelType w:val="multilevel"/>
    <w:tmpl w:val="4BDA3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69BF"/>
    <w:multiLevelType w:val="hybridMultilevel"/>
    <w:tmpl w:val="09D21D72"/>
    <w:lvl w:ilvl="0" w:tplc="24ECF502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73389"/>
    <w:multiLevelType w:val="hybridMultilevel"/>
    <w:tmpl w:val="09D21D72"/>
    <w:lvl w:ilvl="0" w:tplc="370C20D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F2CEC"/>
    <w:multiLevelType w:val="hybridMultilevel"/>
    <w:tmpl w:val="2166CD6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6B245E"/>
    <w:multiLevelType w:val="multilevel"/>
    <w:tmpl w:val="4BDA3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740364"/>
    <w:multiLevelType w:val="hybridMultilevel"/>
    <w:tmpl w:val="09D21D72"/>
    <w:lvl w:ilvl="0" w:tplc="07F0C08E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A3D57"/>
    <w:multiLevelType w:val="hybridMultilevel"/>
    <w:tmpl w:val="09D21D72"/>
    <w:lvl w:ilvl="0" w:tplc="F1366C20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16BE1"/>
    <w:multiLevelType w:val="hybridMultilevel"/>
    <w:tmpl w:val="EFE025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D655A3"/>
    <w:multiLevelType w:val="multilevel"/>
    <w:tmpl w:val="4BDA3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A66608E"/>
    <w:multiLevelType w:val="multilevel"/>
    <w:tmpl w:val="4BDA3D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32C144E"/>
    <w:multiLevelType w:val="hybridMultilevel"/>
    <w:tmpl w:val="3AF060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3922EE"/>
    <w:multiLevelType w:val="hybridMultilevel"/>
    <w:tmpl w:val="588C6B8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574FC3"/>
    <w:multiLevelType w:val="multilevel"/>
    <w:tmpl w:val="8488D4C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97742BE"/>
    <w:multiLevelType w:val="hybridMultilevel"/>
    <w:tmpl w:val="7AE2B0D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9D136D9"/>
    <w:multiLevelType w:val="hybridMultilevel"/>
    <w:tmpl w:val="09D21D72"/>
    <w:lvl w:ilvl="0" w:tplc="7D00CABA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E6CA7"/>
    <w:multiLevelType w:val="hybridMultilevel"/>
    <w:tmpl w:val="0CC418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C013F0"/>
    <w:multiLevelType w:val="hybridMultilevel"/>
    <w:tmpl w:val="09D21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3801116">
    <w:abstractNumId w:val="7"/>
  </w:num>
  <w:num w:numId="2" w16cid:durableId="355272914">
    <w:abstractNumId w:val="14"/>
  </w:num>
  <w:num w:numId="3" w16cid:durableId="325599043">
    <w:abstractNumId w:val="23"/>
  </w:num>
  <w:num w:numId="4" w16cid:durableId="1131169552">
    <w:abstractNumId w:val="16"/>
  </w:num>
  <w:num w:numId="5" w16cid:durableId="1491680369">
    <w:abstractNumId w:val="0"/>
  </w:num>
  <w:num w:numId="6" w16cid:durableId="1150751105">
    <w:abstractNumId w:val="25"/>
  </w:num>
  <w:num w:numId="7" w16cid:durableId="427820432">
    <w:abstractNumId w:val="10"/>
  </w:num>
  <w:num w:numId="8" w16cid:durableId="900677599">
    <w:abstractNumId w:val="15"/>
  </w:num>
  <w:num w:numId="9" w16cid:durableId="109327503">
    <w:abstractNumId w:val="3"/>
  </w:num>
  <w:num w:numId="10" w16cid:durableId="177502211">
    <w:abstractNumId w:val="11"/>
  </w:num>
  <w:num w:numId="11" w16cid:durableId="76171007">
    <w:abstractNumId w:val="6"/>
  </w:num>
  <w:num w:numId="12" w16cid:durableId="657272523">
    <w:abstractNumId w:val="19"/>
  </w:num>
  <w:num w:numId="13" w16cid:durableId="1455178002">
    <w:abstractNumId w:val="4"/>
  </w:num>
  <w:num w:numId="14" w16cid:durableId="1487091859">
    <w:abstractNumId w:val="5"/>
  </w:num>
  <w:num w:numId="15" w16cid:durableId="1366760280">
    <w:abstractNumId w:val="8"/>
  </w:num>
  <w:num w:numId="16" w16cid:durableId="151679071">
    <w:abstractNumId w:val="9"/>
  </w:num>
  <w:num w:numId="17" w16cid:durableId="1994679800">
    <w:abstractNumId w:val="24"/>
  </w:num>
  <w:num w:numId="18" w16cid:durableId="241455460">
    <w:abstractNumId w:val="22"/>
  </w:num>
  <w:num w:numId="19" w16cid:durableId="561260749">
    <w:abstractNumId w:val="12"/>
  </w:num>
  <w:num w:numId="20" w16cid:durableId="779690443">
    <w:abstractNumId w:val="20"/>
  </w:num>
  <w:num w:numId="21" w16cid:durableId="1119493737">
    <w:abstractNumId w:val="1"/>
  </w:num>
  <w:num w:numId="22" w16cid:durableId="222374414">
    <w:abstractNumId w:val="18"/>
  </w:num>
  <w:num w:numId="23" w16cid:durableId="300233318">
    <w:abstractNumId w:val="13"/>
  </w:num>
  <w:num w:numId="24" w16cid:durableId="661783156">
    <w:abstractNumId w:val="21"/>
  </w:num>
  <w:num w:numId="25" w16cid:durableId="402799965">
    <w:abstractNumId w:val="17"/>
  </w:num>
  <w:num w:numId="26" w16cid:durableId="181201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CE"/>
    <w:rsid w:val="000314A1"/>
    <w:rsid w:val="00055BD4"/>
    <w:rsid w:val="000C04AF"/>
    <w:rsid w:val="0019257B"/>
    <w:rsid w:val="001B58BC"/>
    <w:rsid w:val="002377DA"/>
    <w:rsid w:val="00247C64"/>
    <w:rsid w:val="0025281E"/>
    <w:rsid w:val="002B3532"/>
    <w:rsid w:val="002B5C30"/>
    <w:rsid w:val="002D0942"/>
    <w:rsid w:val="002D695E"/>
    <w:rsid w:val="003156FC"/>
    <w:rsid w:val="00345C3D"/>
    <w:rsid w:val="00385474"/>
    <w:rsid w:val="003F7DB0"/>
    <w:rsid w:val="00450856"/>
    <w:rsid w:val="00451D2D"/>
    <w:rsid w:val="004A5CF4"/>
    <w:rsid w:val="004D4C9C"/>
    <w:rsid w:val="00505605"/>
    <w:rsid w:val="005114FA"/>
    <w:rsid w:val="005823FB"/>
    <w:rsid w:val="005839D0"/>
    <w:rsid w:val="00644A29"/>
    <w:rsid w:val="006657B8"/>
    <w:rsid w:val="00691BB5"/>
    <w:rsid w:val="00745EBB"/>
    <w:rsid w:val="007B40E4"/>
    <w:rsid w:val="007C7C16"/>
    <w:rsid w:val="008004C2"/>
    <w:rsid w:val="00825D86"/>
    <w:rsid w:val="00843FDC"/>
    <w:rsid w:val="008470DE"/>
    <w:rsid w:val="008614BD"/>
    <w:rsid w:val="0086352F"/>
    <w:rsid w:val="00864B8D"/>
    <w:rsid w:val="00896860"/>
    <w:rsid w:val="008A0463"/>
    <w:rsid w:val="008E63F2"/>
    <w:rsid w:val="009B24F3"/>
    <w:rsid w:val="00A106C9"/>
    <w:rsid w:val="00A15E68"/>
    <w:rsid w:val="00A25BD8"/>
    <w:rsid w:val="00A656F9"/>
    <w:rsid w:val="00A83AC7"/>
    <w:rsid w:val="00AA39E7"/>
    <w:rsid w:val="00B221FB"/>
    <w:rsid w:val="00B3564A"/>
    <w:rsid w:val="00B3660F"/>
    <w:rsid w:val="00BA56DA"/>
    <w:rsid w:val="00BC22D1"/>
    <w:rsid w:val="00BC3967"/>
    <w:rsid w:val="00BC64DD"/>
    <w:rsid w:val="00BD7952"/>
    <w:rsid w:val="00C15972"/>
    <w:rsid w:val="00CD71D7"/>
    <w:rsid w:val="00CE0170"/>
    <w:rsid w:val="00CF228D"/>
    <w:rsid w:val="00D66C86"/>
    <w:rsid w:val="00D717ED"/>
    <w:rsid w:val="00DF0BF6"/>
    <w:rsid w:val="00E22E9F"/>
    <w:rsid w:val="00E465B3"/>
    <w:rsid w:val="00E7104E"/>
    <w:rsid w:val="00ED08C8"/>
    <w:rsid w:val="00ED3A75"/>
    <w:rsid w:val="00EE533A"/>
    <w:rsid w:val="00F144E6"/>
    <w:rsid w:val="00F37405"/>
    <w:rsid w:val="00F56730"/>
    <w:rsid w:val="00F76BED"/>
    <w:rsid w:val="00F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7939C"/>
  <w15:docId w15:val="{5457F6A6-3029-E448-A8CB-2628881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color w:val="000000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4"/>
      <w:szCs w:val="24"/>
    </w:rPr>
  </w:style>
  <w:style w:type="paragraph" w:styleId="BodyTextIndent2">
    <w:name w:val="Body Text Indent 2"/>
    <w:basedOn w:val="Normal"/>
    <w:pPr>
      <w:ind w:left="720" w:hanging="720"/>
    </w:pPr>
    <w:rPr>
      <w:sz w:val="22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5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156FC"/>
    <w:rPr>
      <w:rFonts w:ascii="Arial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0BF6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B353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3532"/>
  </w:style>
  <w:style w:type="character" w:customStyle="1" w:styleId="CommentTextChar">
    <w:name w:val="Comment Text Char"/>
    <w:basedOn w:val="DefaultParagraphFont"/>
    <w:link w:val="CommentText"/>
    <w:semiHidden/>
    <w:rsid w:val="002B353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3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353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2B35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35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Thame Town Council</vt:lpstr>
    </vt:vector>
  </TitlesOfParts>
  <Company>Thame Town Council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Thame Town Council</dc:title>
  <dc:creator>Thame Town Council</dc:creator>
  <cp:lastModifiedBy>Kim Ford</cp:lastModifiedBy>
  <cp:revision>2</cp:revision>
  <cp:lastPrinted>2023-07-18T14:52:00Z</cp:lastPrinted>
  <dcterms:created xsi:type="dcterms:W3CDTF">2024-07-16T11:08:00Z</dcterms:created>
  <dcterms:modified xsi:type="dcterms:W3CDTF">2024-07-16T11:08:00Z</dcterms:modified>
</cp:coreProperties>
</file>